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32111379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733266">
              <w:rPr>
                <w:rFonts w:ascii="Century Gothic" w:hAnsi="Century Gothic"/>
                <w:sz w:val="16"/>
                <w:szCs w:val="16"/>
              </w:rPr>
              <w:t xml:space="preserve"> Escola Agrícola de Jundiaí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37ED4866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 w:rsidR="00C61F30">
              <w:rPr>
                <w:rFonts w:ascii="Century Gothic" w:hAnsi="Century Gothic"/>
                <w:sz w:val="16"/>
                <w:szCs w:val="16"/>
              </w:rPr>
              <w:t>ZOO 0447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0B0EB4CF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C61F30">
              <w:rPr>
                <w:rFonts w:ascii="Century Gothic" w:hAnsi="Century Gothic"/>
                <w:sz w:val="16"/>
                <w:szCs w:val="16"/>
              </w:rPr>
              <w:t>NUTRIÇÃO DE SUÍNOS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1E4ED3A9" w:rsidR="00791FF8" w:rsidRPr="00791FF8" w:rsidRDefault="00791FF8" w:rsidP="00A951F7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   (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>(</w:t>
            </w:r>
            <w:r w:rsidR="00A951F7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50A94D8D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733266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6C81AA52" w:rsidR="00791FF8" w:rsidRPr="00791FF8" w:rsidRDefault="00791FF8" w:rsidP="00A951F7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A951F7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D87191">
              <w:rPr>
                <w:rFonts w:ascii="Century Gothic" w:hAnsi="Century Gothic" w:cs="Calibri"/>
                <w:sz w:val="16"/>
                <w:szCs w:val="16"/>
              </w:rPr>
              <w:t>3</w:t>
            </w:r>
            <w:r w:rsidR="00A951F7">
              <w:rPr>
                <w:rFonts w:ascii="Century Gothic" w:hAnsi="Century Gothic" w:cs="Calibri"/>
                <w:sz w:val="16"/>
                <w:szCs w:val="16"/>
              </w:rPr>
              <w:t xml:space="preserve">0 horas 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8"/>
        <w:gridCol w:w="7778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7956088C" w:rsidR="00791FF8" w:rsidRPr="00791FF8" w:rsidRDefault="00C61F30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3</w:t>
                  </w:r>
                  <w:r w:rsidR="00441523">
                    <w:rPr>
                      <w:rFonts w:ascii="Century Gothic" w:hAnsi="Century Gothic" w:cs="Calibri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A6ADB69" w:rsidR="00791FF8" w:rsidRPr="00791FF8" w:rsidRDefault="00B51EF0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01F17198" w:rsidR="00791FF8" w:rsidRPr="00791FF8" w:rsidRDefault="00441523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0703324" w:rsidR="00791FF8" w:rsidRPr="00791FF8" w:rsidRDefault="00B51EF0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0A10EE12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70790F61" w14:textId="4689E5D5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6F4FE463" w14:textId="3342E62F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28856FB1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221AB23E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19998ABC" w14:textId="7534BF4D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26C188D" w14:textId="039BD175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0BBF18F3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3B4DB7CD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4041766" w14:textId="3D2CD288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C025308" w14:textId="7B958458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3EEA737E" w:rsidR="00791FF8" w:rsidRPr="00791FF8" w:rsidRDefault="00C61F30" w:rsidP="00C61F30">
                  <w:pP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3</w:t>
                  </w:r>
                  <w:r w:rsidR="00733266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1E2763B1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491F315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676A5028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221053C4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6DD867BB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441523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C61F30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5A217961" w:rsidR="00F37539" w:rsidRPr="00360971" w:rsidRDefault="00C61F30" w:rsidP="00C61F30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C61F30">
              <w:rPr>
                <w:rFonts w:ascii="Century Gothic" w:hAnsi="Century Gothic" w:cs="Calibri"/>
                <w:sz w:val="16"/>
                <w:szCs w:val="16"/>
              </w:rPr>
              <w:t xml:space="preserve">Pré-Requisitos:  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6F21F8C6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441523" w:rsidRPr="00360971" w14:paraId="2429DA19" w14:textId="77777777" w:rsidTr="00C61F30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B86" w14:textId="32EA2C36" w:rsidR="00441523" w:rsidRDefault="00C61F30" w:rsidP="0044152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61F30">
              <w:rPr>
                <w:rFonts w:ascii="Century Gothic" w:hAnsi="Century Gothic" w:cs="Calibri"/>
                <w:sz w:val="16"/>
                <w:szCs w:val="16"/>
              </w:rPr>
              <w:t>ZOO0307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B3A56" w14:textId="18406B9B" w:rsidR="00441523" w:rsidRPr="00360971" w:rsidRDefault="006E27B6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6E27B6">
              <w:rPr>
                <w:rFonts w:ascii="Century Gothic" w:hAnsi="Century Gothic" w:cs="Calibri"/>
                <w:sz w:val="16"/>
                <w:szCs w:val="16"/>
              </w:rPr>
              <w:t>Nutrição e alimentação de animais monogástricos</w:t>
            </w:r>
          </w:p>
        </w:tc>
      </w:tr>
      <w:tr w:rsidR="00441523" w:rsidRPr="00360971" w14:paraId="4623DAC2" w14:textId="77777777" w:rsidTr="00441523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5FF" w14:textId="383A9C95" w:rsidR="00441523" w:rsidRPr="00441523" w:rsidRDefault="006E27B6" w:rsidP="00441523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AGR0308 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8FA37" w14:textId="2FFBDF4E" w:rsidR="00441523" w:rsidRPr="00360971" w:rsidRDefault="006E27B6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6E27B6">
              <w:rPr>
                <w:rFonts w:ascii="Century Gothic" w:hAnsi="Century Gothic" w:cs="Calibri"/>
                <w:sz w:val="16"/>
                <w:szCs w:val="16"/>
              </w:rPr>
              <w:t>Zootecnia geral</w:t>
            </w: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3BF10345" w:rsidR="0004074A" w:rsidRPr="00264347" w:rsidRDefault="0004074A" w:rsidP="00441523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2E9A742E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281752C6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21CF2E34" w:rsidR="0004074A" w:rsidRPr="00264347" w:rsidRDefault="0004074A" w:rsidP="0031218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Componente curricular que contemple carga horária total ou parcial de extensão deverá inserir na ementa a expressão “desenvolvimento de prática extensionista”.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63EA8818" w14:textId="491EE320" w:rsidR="00846969" w:rsidRDefault="00D87191" w:rsidP="00A76A75">
            <w:pPr>
              <w:spacing w:line="36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D87191">
              <w:rPr>
                <w:rFonts w:ascii="Century Gothic" w:hAnsi="Century Gothic" w:cs="Calibri"/>
                <w:sz w:val="16"/>
                <w:szCs w:val="16"/>
              </w:rPr>
              <w:t xml:space="preserve">Evolução e importância da nutrição de monogástricos no mundo. Estudos de aspectos nutricionais e fisiológicos relacionados com o metabolismo d'água, de carboidratos, das proteínas, dos minerais, das vitaminas e dos aditivos. </w:t>
            </w:r>
            <w:proofErr w:type="spellStart"/>
            <w:r w:rsidRPr="00D87191">
              <w:rPr>
                <w:rFonts w:ascii="Century Gothic" w:hAnsi="Century Gothic" w:cs="Calibri"/>
                <w:sz w:val="16"/>
                <w:szCs w:val="16"/>
              </w:rPr>
              <w:t>Interrelacionamento</w:t>
            </w:r>
            <w:proofErr w:type="spellEnd"/>
            <w:r w:rsidRPr="00D87191">
              <w:rPr>
                <w:rFonts w:ascii="Century Gothic" w:hAnsi="Century Gothic" w:cs="Calibri"/>
                <w:sz w:val="16"/>
                <w:szCs w:val="16"/>
              </w:rPr>
              <w:t xml:space="preserve"> dos nutrientes. Avanços nutricionais e metabólicos na nutrição dos suínos. Avanços nutricionais em suínos. Principais tipos de alimentos. Conversão alimentar. Qualidade e disponibilidade do alimento.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 xml:space="preserve"> Serão abordados nestas disciplina os seguintes conteúdos: 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1 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>- Histórico da p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>rodução de suínos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 n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>o Brasil</w:t>
            </w:r>
            <w:r w:rsidR="00F74FE6">
              <w:rPr>
                <w:rFonts w:ascii="Century Gothic" w:hAnsi="Century Gothic" w:cs="Calibri"/>
                <w:sz w:val="16"/>
                <w:szCs w:val="16"/>
              </w:rPr>
              <w:t xml:space="preserve"> e no mundo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 xml:space="preserve">,  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 2 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 xml:space="preserve">- 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>Programa nutricional para leitões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 xml:space="preserve"> lactentes, 3 -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 Programa Nutricional para suínos em fase Inicial, crescimento e terminação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 xml:space="preserve">,  4 - 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 Programa Nutri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>cional para matrizes e cachaços,  5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 - Programa nutricional para matrizes e reprod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 xml:space="preserve">utores, 6 - 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 Importância do uso de fibras na alimentação de 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 xml:space="preserve">suínos, 7 - 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 Uso do conceito de proteína ideal na formulação de ração para </w:t>
            </w:r>
            <w:r w:rsidR="00846969">
              <w:rPr>
                <w:rFonts w:ascii="Century Gothic" w:hAnsi="Century Gothic" w:cs="Calibri"/>
                <w:sz w:val="16"/>
                <w:szCs w:val="16"/>
              </w:rPr>
              <w:t>suínos, 8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 - Formulação de ração pa</w:t>
            </w:r>
            <w:r w:rsidR="00A76A75">
              <w:rPr>
                <w:rFonts w:ascii="Century Gothic" w:hAnsi="Century Gothic" w:cs="Calibri"/>
                <w:sz w:val="16"/>
                <w:szCs w:val="16"/>
              </w:rPr>
              <w:t xml:space="preserve">ra suínos com o uso de lipídios, 9 </w:t>
            </w:r>
            <w:r w:rsidR="00846969" w:rsidRPr="00846969">
              <w:rPr>
                <w:rFonts w:ascii="Century Gothic" w:hAnsi="Century Gothic" w:cs="Calibri"/>
                <w:sz w:val="16"/>
                <w:szCs w:val="16"/>
              </w:rPr>
              <w:t xml:space="preserve">- Uso de energia na </w:t>
            </w:r>
            <w:r w:rsidR="00A76A75">
              <w:rPr>
                <w:rFonts w:ascii="Century Gothic" w:hAnsi="Century Gothic" w:cs="Calibri"/>
                <w:sz w:val="16"/>
                <w:szCs w:val="16"/>
              </w:rPr>
              <w:t xml:space="preserve">formulação de ração para suínos, </w:t>
            </w:r>
            <w:r w:rsidR="00A76A75" w:rsidRPr="00A76A75">
              <w:rPr>
                <w:rFonts w:ascii="Century Gothic" w:hAnsi="Century Gothic" w:cs="Calibri"/>
                <w:sz w:val="16"/>
                <w:szCs w:val="16"/>
              </w:rPr>
              <w:t>1</w:t>
            </w:r>
            <w:r w:rsidR="00A76A75">
              <w:rPr>
                <w:rFonts w:ascii="Century Gothic" w:hAnsi="Century Gothic" w:cs="Calibri"/>
                <w:sz w:val="16"/>
                <w:szCs w:val="16"/>
              </w:rPr>
              <w:t xml:space="preserve">0 - </w:t>
            </w:r>
            <w:r w:rsidR="00A76A75" w:rsidRPr="00A76A75">
              <w:rPr>
                <w:rFonts w:ascii="Century Gothic" w:hAnsi="Century Gothic" w:cs="Calibri"/>
                <w:sz w:val="16"/>
                <w:szCs w:val="16"/>
              </w:rPr>
              <w:t xml:space="preserve"> Uso de minerais e vitaminas na nutrição de suínos</w:t>
            </w:r>
            <w:r w:rsidR="00A76A75">
              <w:rPr>
                <w:rFonts w:ascii="Century Gothic" w:hAnsi="Century Gothic" w:cs="Calibri"/>
                <w:sz w:val="16"/>
                <w:szCs w:val="16"/>
              </w:rPr>
              <w:t>, 11-</w:t>
            </w:r>
            <w:r w:rsidR="00A76A75" w:rsidRPr="00A76A75">
              <w:rPr>
                <w:rFonts w:ascii="Century Gothic" w:hAnsi="Century Gothic" w:cs="Calibri"/>
                <w:sz w:val="16"/>
                <w:szCs w:val="16"/>
              </w:rPr>
              <w:t xml:space="preserve"> Importância da água e balanço eletrolítico na nutrição de suínos</w:t>
            </w:r>
            <w:r w:rsidR="00A76A75">
              <w:rPr>
                <w:rFonts w:ascii="Century Gothic" w:hAnsi="Century Gothic" w:cs="Calibri"/>
                <w:sz w:val="16"/>
                <w:szCs w:val="16"/>
              </w:rPr>
              <w:t>, 12</w:t>
            </w:r>
            <w:r w:rsidR="00A76A75" w:rsidRPr="00A76A75">
              <w:rPr>
                <w:rFonts w:ascii="Century Gothic" w:hAnsi="Century Gothic" w:cs="Calibri"/>
                <w:sz w:val="16"/>
                <w:szCs w:val="16"/>
              </w:rPr>
              <w:t xml:space="preserve"> - F</w:t>
            </w:r>
            <w:r w:rsidR="00A76A75">
              <w:rPr>
                <w:rFonts w:ascii="Century Gothic" w:hAnsi="Century Gothic" w:cs="Calibri"/>
                <w:sz w:val="16"/>
                <w:szCs w:val="16"/>
              </w:rPr>
              <w:t>ormulação de rações para suínos.</w:t>
            </w:r>
          </w:p>
          <w:p w14:paraId="11FD9677" w14:textId="5DF039E9" w:rsidR="00D202DC" w:rsidRPr="00791FF8" w:rsidRDefault="00D202DC" w:rsidP="00A76A75">
            <w:pPr>
              <w:spacing w:line="36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05C6AD1F" w14:textId="77777777" w:rsidR="001467D3" w:rsidRDefault="001467D3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  <w:p w14:paraId="428D2AC1" w14:textId="775198FC" w:rsidR="00891A50" w:rsidRPr="00791FF8" w:rsidRDefault="001467D3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AULAS TEÓRICAS</w:t>
            </w:r>
          </w:p>
          <w:p w14:paraId="2F4085EB" w14:textId="77777777" w:rsidR="001467D3" w:rsidRDefault="00B744C6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  </w:t>
            </w:r>
          </w:p>
          <w:p w14:paraId="1308444A" w14:textId="67FA6714" w:rsidR="00B744C6" w:rsidRPr="00B744C6" w:rsidRDefault="00B744C6" w:rsidP="00891F35">
            <w:pPr>
              <w:spacing w:line="36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As aulas serão ministradas de forma assíncrona e síncrona. Serão enviados vídeos contendo aulas gravadas pelo professor (links do canal do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youtube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 - adicionados no SIGAA, WhatsApp ou através do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Classroom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891F35">
              <w:rPr>
                <w:rFonts w:ascii="Century Gothic" w:hAnsi="Century Gothic" w:cs="Calibri"/>
                <w:sz w:val="16"/>
                <w:szCs w:val="16"/>
              </w:rPr>
              <w:t xml:space="preserve">– Google </w:t>
            </w:r>
            <w:proofErr w:type="spellStart"/>
            <w:r w:rsidR="00891F35">
              <w:rPr>
                <w:rFonts w:ascii="Century Gothic" w:hAnsi="Century Gothic" w:cs="Calibri"/>
                <w:sz w:val="16"/>
                <w:szCs w:val="16"/>
              </w:rPr>
              <w:t>Meet</w:t>
            </w:r>
            <w:proofErr w:type="spellEnd"/>
            <w:r w:rsidR="00891F35">
              <w:rPr>
                <w:rFonts w:ascii="Century Gothic" w:hAnsi="Century Gothic" w:cs="Calibri"/>
                <w:sz w:val="16"/>
                <w:szCs w:val="16"/>
              </w:rPr>
              <w:t>) com duração de 30 a 4</w:t>
            </w:r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0 minutos com dois ou três dias de antecedências. Todos alunos devem assistir as aulas e comparecer às reuniões intitulados como: “rodas de conversas” para esclarecimentos de dúvidas e debates sobre os assuntos abordados. Um </w:t>
            </w:r>
            <w:r w:rsidRPr="00B744C6">
              <w:rPr>
                <w:rFonts w:ascii="Century Gothic" w:hAnsi="Century Gothic" w:cs="Calibri"/>
                <w:sz w:val="16"/>
                <w:szCs w:val="16"/>
              </w:rPr>
              <w:lastRenderedPageBreak/>
              <w:t xml:space="preserve">grupo de alunos será responsável por coordenar as rodas de conversas juntamente com o professor. A roda de conversa poderá ocorrer pelo Google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Meet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>, WhatsApp ou SIGAA. Objetivo é debater e profundar o entendimento dos assuntos estudados. Juntamente com a vídeo aula também será encaminhado o material bibliográfico referente a cada assunto para o aluno estudar. Durante o módulo também será realizado atividade de pesquisa e apresentação de resultados</w:t>
            </w:r>
          </w:p>
          <w:p w14:paraId="3CAE119E" w14:textId="77D49840" w:rsidR="00891A50" w:rsidRPr="00791FF8" w:rsidRDefault="00891A50" w:rsidP="00891F35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6FE48D1A" w14:textId="77777777" w:rsidR="00D202DC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BÁSICA:</w:t>
            </w:r>
          </w:p>
          <w:p w14:paraId="2A841B92" w14:textId="561E9FC8" w:rsidR="000C4695" w:rsidRDefault="000C4695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76BBE974" w14:textId="2EE962B2" w:rsidR="00B659EC" w:rsidRPr="00B659EC" w:rsidRDefault="00983108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1 - 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 xml:space="preserve">SAKOMURA, </w:t>
            </w:r>
            <w:proofErr w:type="spellStart"/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>Nilva</w:t>
            </w:r>
            <w:proofErr w:type="spellEnd"/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>Kazue</w:t>
            </w:r>
            <w:proofErr w:type="spellEnd"/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>. Nutrição de não ruminantes. Jaboticabal, SP: FUNEP, 2014. 678 p. ISBN: 9788578051327.</w:t>
            </w:r>
          </w:p>
          <w:p w14:paraId="31B90BC9" w14:textId="781A9846" w:rsidR="00D202DC" w:rsidRDefault="00983108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2 -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2D6458" w:rsidRPr="002D6458">
              <w:rPr>
                <w:rFonts w:ascii="Century Gothic" w:hAnsi="Century Gothic" w:cs="Calibri"/>
                <w:sz w:val="16"/>
                <w:szCs w:val="16"/>
              </w:rPr>
              <w:t>BERTECHINI, A.G. Nutrição de Monogástricos. Lavras: Editora UFLA, 2006. 301p.</w:t>
            </w:r>
            <w:r w:rsidR="002D6458" w:rsidRPr="002D6458">
              <w:rPr>
                <w:rFonts w:ascii="Century Gothic" w:hAnsi="Century Gothic" w:cs="Calibri"/>
                <w:sz w:val="16"/>
                <w:szCs w:val="16"/>
              </w:rPr>
              <w:cr/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3 - </w:t>
            </w:r>
            <w:r w:rsidR="00D202DC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6522A6">
              <w:rPr>
                <w:rFonts w:ascii="Century Gothic" w:hAnsi="Century Gothic" w:cs="Calibri"/>
                <w:sz w:val="16"/>
                <w:szCs w:val="16"/>
              </w:rPr>
              <w:t xml:space="preserve">FIALHO, E. T. </w:t>
            </w:r>
            <w:r w:rsidR="00D202DC">
              <w:rPr>
                <w:rFonts w:ascii="Century Gothic" w:hAnsi="Century Gothic" w:cs="Calibri"/>
                <w:sz w:val="16"/>
                <w:szCs w:val="16"/>
              </w:rPr>
              <w:t xml:space="preserve">Alimentos </w:t>
            </w:r>
            <w:r w:rsidR="006522A6">
              <w:rPr>
                <w:rFonts w:ascii="Century Gothic" w:hAnsi="Century Gothic" w:cs="Calibri"/>
                <w:sz w:val="16"/>
                <w:szCs w:val="16"/>
              </w:rPr>
              <w:t xml:space="preserve">alternativos </w:t>
            </w:r>
            <w:r w:rsidR="00D202DC">
              <w:rPr>
                <w:rFonts w:ascii="Century Gothic" w:hAnsi="Century Gothic" w:cs="Calibri"/>
                <w:sz w:val="16"/>
                <w:szCs w:val="16"/>
              </w:rPr>
              <w:t>para suínos</w:t>
            </w:r>
            <w:r w:rsidR="006522A6">
              <w:rPr>
                <w:rFonts w:ascii="Century Gothic" w:hAnsi="Century Gothic" w:cs="Calibri"/>
                <w:sz w:val="16"/>
                <w:szCs w:val="16"/>
              </w:rPr>
              <w:t xml:space="preserve">. Lavras: Editora UFLA, 2009. </w:t>
            </w:r>
            <w:r w:rsidR="006522A6" w:rsidRPr="006522A6">
              <w:rPr>
                <w:rFonts w:ascii="Century Gothic" w:hAnsi="Century Gothic" w:cs="Calibri"/>
                <w:sz w:val="16"/>
                <w:szCs w:val="16"/>
              </w:rPr>
              <w:t xml:space="preserve">ISBN: 9788587692726 </w:t>
            </w:r>
          </w:p>
          <w:p w14:paraId="2927FB6B" w14:textId="08E46FBC" w:rsidR="00B659EC" w:rsidRPr="00791FF8" w:rsidRDefault="00B659EC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3912B309" w14:textId="61262146" w:rsidR="0057775D" w:rsidRDefault="00791FF8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0ED765F5" w14:textId="77777777" w:rsidR="0057775D" w:rsidRPr="0057775D" w:rsidRDefault="0057775D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0079EB4C" w14:textId="680635FD" w:rsidR="00B659EC" w:rsidRPr="00983108" w:rsidRDefault="00983108" w:rsidP="00983108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1 -</w:t>
            </w:r>
            <w:r w:rsidR="00B659EC" w:rsidRPr="00983108">
              <w:rPr>
                <w:rFonts w:ascii="Century Gothic" w:hAnsi="Century Gothic" w:cs="Calibri"/>
                <w:sz w:val="16"/>
                <w:szCs w:val="16"/>
              </w:rPr>
              <w:t xml:space="preserve">SAKOMURA, </w:t>
            </w:r>
            <w:proofErr w:type="spellStart"/>
            <w:r w:rsidR="00B659EC" w:rsidRPr="00983108">
              <w:rPr>
                <w:rFonts w:ascii="Century Gothic" w:hAnsi="Century Gothic" w:cs="Calibri"/>
                <w:sz w:val="16"/>
                <w:szCs w:val="16"/>
              </w:rPr>
              <w:t>Nilva</w:t>
            </w:r>
            <w:proofErr w:type="spellEnd"/>
            <w:r w:rsidR="00B659EC" w:rsidRPr="00983108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="00B659EC" w:rsidRPr="00983108">
              <w:rPr>
                <w:rFonts w:ascii="Century Gothic" w:hAnsi="Century Gothic" w:cs="Calibri"/>
                <w:sz w:val="16"/>
                <w:szCs w:val="16"/>
              </w:rPr>
              <w:t>Kazue</w:t>
            </w:r>
            <w:proofErr w:type="spellEnd"/>
            <w:r w:rsidR="00B659EC" w:rsidRPr="00983108">
              <w:rPr>
                <w:rFonts w:ascii="Century Gothic" w:hAnsi="Century Gothic" w:cs="Calibri"/>
                <w:sz w:val="16"/>
                <w:szCs w:val="16"/>
              </w:rPr>
              <w:t xml:space="preserve">; ROSTAGNO, </w:t>
            </w:r>
            <w:proofErr w:type="spellStart"/>
            <w:r w:rsidR="00B659EC" w:rsidRPr="00983108">
              <w:rPr>
                <w:rFonts w:ascii="Century Gothic" w:hAnsi="Century Gothic" w:cs="Calibri"/>
                <w:sz w:val="16"/>
                <w:szCs w:val="16"/>
              </w:rPr>
              <w:t>Horacio</w:t>
            </w:r>
            <w:proofErr w:type="spellEnd"/>
            <w:r w:rsidR="00B659EC" w:rsidRPr="00983108">
              <w:rPr>
                <w:rFonts w:ascii="Century Gothic" w:hAnsi="Century Gothic" w:cs="Calibri"/>
                <w:sz w:val="16"/>
                <w:szCs w:val="16"/>
              </w:rPr>
              <w:t xml:space="preserve"> Santiago. Métodos de pesquisa em nutrição de monogástricos. Jaboticabal, SP: FUNEP, 2016. 282p. ISBN: 9788578051549.</w:t>
            </w:r>
          </w:p>
          <w:p w14:paraId="3DFA1596" w14:textId="4927AB3B" w:rsidR="00B659EC" w:rsidRPr="00B659EC" w:rsidRDefault="00983108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2 - 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 xml:space="preserve">FERREIRA, Rony </w:t>
            </w:r>
            <w:proofErr w:type="spellStart"/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>Antonio</w:t>
            </w:r>
            <w:proofErr w:type="spellEnd"/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>. Suinocultura: manual prático da criação: manual prático de criação. 1. ed. Viçosa: Aprenda Fácil, 2012. 433p. ISBN: 9788562032561.</w:t>
            </w:r>
          </w:p>
          <w:p w14:paraId="3E1AFE79" w14:textId="1E651D0C" w:rsidR="00B659EC" w:rsidRPr="00B659EC" w:rsidRDefault="00983108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3 - 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>Revista suinocultura industrial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ab/>
              <w:t>https://www.suinoculturaindustrial.com.br/</w:t>
            </w:r>
          </w:p>
          <w:p w14:paraId="2CA13FC6" w14:textId="0BF883A3" w:rsidR="00B659EC" w:rsidRPr="00B659EC" w:rsidRDefault="00983108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4 - 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>Embrapa suínos e aves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ab/>
              <w:t>https://www.embrapa.br/suinos-e-aves</w:t>
            </w:r>
          </w:p>
          <w:p w14:paraId="3C81E2DD" w14:textId="15AC3F55" w:rsidR="00791FF8" w:rsidRPr="00791FF8" w:rsidRDefault="00983108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5 - 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>Associação Brasileira de criadores de suínos</w:t>
            </w:r>
            <w:r w:rsidR="00B659EC" w:rsidRPr="00B659EC">
              <w:rPr>
                <w:rFonts w:ascii="Century Gothic" w:hAnsi="Century Gothic" w:cs="Calibri"/>
                <w:sz w:val="16"/>
                <w:szCs w:val="16"/>
              </w:rPr>
              <w:tab/>
              <w:t>http://abcs.org.br/</w:t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5473A63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F30414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3583341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6F7A73">
              <w:rPr>
                <w:rFonts w:ascii="Century Gothic" w:hAnsi="Century Gothic" w:cs="Calibri"/>
                <w:sz w:val="16"/>
                <w:szCs w:val="16"/>
              </w:rPr>
              <w:t>02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438934D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72C913C1" w:rsidR="00791FF8" w:rsidRPr="00791FF8" w:rsidRDefault="00791FF8" w:rsidP="00722EAD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(   ) Obrigatório      (</w:t>
            </w:r>
            <w:r w:rsidR="00722EAD">
              <w:rPr>
                <w:rFonts w:ascii="Century Gothic" w:hAnsi="Century Gothic" w:cs="Calibri"/>
                <w:sz w:val="16"/>
                <w:szCs w:val="16"/>
              </w:rPr>
              <w:t xml:space="preserve"> x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3694226" w14:textId="2A0EB6F1" w:rsidR="002A2B7E" w:rsidRPr="00264765" w:rsidRDefault="0057775D" w:rsidP="00264765">
      <w:pPr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6"/>
          <w:szCs w:val="16"/>
        </w:rPr>
        <w:t>Macaíba, 02</w:t>
      </w:r>
      <w:r w:rsidR="00264765">
        <w:rPr>
          <w:rFonts w:ascii="Century Gothic" w:hAnsi="Century Gothic" w:cs="Calibri"/>
          <w:sz w:val="16"/>
          <w:szCs w:val="16"/>
        </w:rPr>
        <w:t xml:space="preserve"> 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de </w:t>
      </w:r>
      <w:r>
        <w:rPr>
          <w:rFonts w:ascii="Century Gothic" w:hAnsi="Century Gothic" w:cs="Calibri"/>
          <w:sz w:val="16"/>
          <w:szCs w:val="16"/>
        </w:rPr>
        <w:t>dezembro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 de</w:t>
      </w:r>
      <w:r w:rsidR="00264765">
        <w:rPr>
          <w:rFonts w:ascii="Century Gothic" w:hAnsi="Century Gothic" w:cs="Calibri"/>
          <w:sz w:val="16"/>
          <w:szCs w:val="16"/>
        </w:rPr>
        <w:t xml:space="preserve"> 2020</w:t>
      </w:r>
    </w:p>
    <w:p w14:paraId="2B210943" w14:textId="207148FC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3509BCB2" w14:textId="5198C7A3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6D2FA349" w14:textId="57981703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00B7B2B9" w14:textId="22501483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752FACFF" w14:textId="77777777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03FCF9BB" w:rsidR="00214BC4" w:rsidRPr="002C4EC9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214BC4" w:rsidRPr="002C4EC9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1AF1B" w14:textId="77777777" w:rsidR="0038232F" w:rsidRDefault="0038232F">
      <w:r>
        <w:separator/>
      </w:r>
    </w:p>
  </w:endnote>
  <w:endnote w:type="continuationSeparator" w:id="0">
    <w:p w14:paraId="5A8E7BCE" w14:textId="77777777" w:rsidR="0038232F" w:rsidRDefault="0038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0EDEB" w14:textId="77777777" w:rsidR="0038232F" w:rsidRDefault="0038232F">
      <w:r>
        <w:separator/>
      </w:r>
    </w:p>
  </w:footnote>
  <w:footnote w:type="continuationSeparator" w:id="0">
    <w:p w14:paraId="30BC7E5C" w14:textId="77777777" w:rsidR="0038232F" w:rsidRDefault="00382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C78FC"/>
    <w:multiLevelType w:val="hybridMultilevel"/>
    <w:tmpl w:val="D77C69F8"/>
    <w:lvl w:ilvl="0" w:tplc="EEAE4C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1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11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13"/>
  </w:num>
  <w:num w:numId="10">
    <w:abstractNumId w:val="10"/>
  </w:num>
  <w:num w:numId="11">
    <w:abstractNumId w:val="4"/>
  </w:num>
  <w:num w:numId="12">
    <w:abstractNumId w:val="16"/>
  </w:num>
  <w:num w:numId="13">
    <w:abstractNumId w:val="14"/>
  </w:num>
  <w:num w:numId="14">
    <w:abstractNumId w:val="15"/>
  </w:num>
  <w:num w:numId="15">
    <w:abstractNumId w:val="18"/>
  </w:num>
  <w:num w:numId="16">
    <w:abstractNumId w:val="12"/>
  </w:num>
  <w:num w:numId="17">
    <w:abstractNumId w:val="7"/>
  </w:num>
  <w:num w:numId="18">
    <w:abstractNumId w:val="2"/>
  </w:num>
  <w:num w:numId="19">
    <w:abstractNumId w:val="3"/>
  </w:num>
  <w:num w:numId="20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3296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24E5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40F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467D3"/>
    <w:rsid w:val="001510A4"/>
    <w:rsid w:val="00151413"/>
    <w:rsid w:val="00152FFF"/>
    <w:rsid w:val="00156517"/>
    <w:rsid w:val="00162BE3"/>
    <w:rsid w:val="0016532F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23E7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4765"/>
    <w:rsid w:val="0026671E"/>
    <w:rsid w:val="0026705C"/>
    <w:rsid w:val="0027546A"/>
    <w:rsid w:val="00281060"/>
    <w:rsid w:val="00281EFB"/>
    <w:rsid w:val="00282548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458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2185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1F10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32F"/>
    <w:rsid w:val="00382BEC"/>
    <w:rsid w:val="00385DC8"/>
    <w:rsid w:val="00387AB2"/>
    <w:rsid w:val="00390507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1523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7775D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E2AC7"/>
    <w:rsid w:val="005F063C"/>
    <w:rsid w:val="005F1F12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22A6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27B6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6F7A73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2EAD"/>
    <w:rsid w:val="00723A34"/>
    <w:rsid w:val="007254CB"/>
    <w:rsid w:val="0072624C"/>
    <w:rsid w:val="007266C6"/>
    <w:rsid w:val="0073326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E83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46969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1F3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42F7"/>
    <w:rsid w:val="008F5AE9"/>
    <w:rsid w:val="0090016F"/>
    <w:rsid w:val="00903D92"/>
    <w:rsid w:val="0090471C"/>
    <w:rsid w:val="0091462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40E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3D8B"/>
    <w:rsid w:val="00977DAF"/>
    <w:rsid w:val="00982B9A"/>
    <w:rsid w:val="00983108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1442F"/>
    <w:rsid w:val="00A2023B"/>
    <w:rsid w:val="00A21C8C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6A7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951F7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1EF0"/>
    <w:rsid w:val="00B52227"/>
    <w:rsid w:val="00B54C4B"/>
    <w:rsid w:val="00B622E1"/>
    <w:rsid w:val="00B659EC"/>
    <w:rsid w:val="00B65C06"/>
    <w:rsid w:val="00B674A2"/>
    <w:rsid w:val="00B7096D"/>
    <w:rsid w:val="00B71938"/>
    <w:rsid w:val="00B71E83"/>
    <w:rsid w:val="00B72073"/>
    <w:rsid w:val="00B744C6"/>
    <w:rsid w:val="00B83119"/>
    <w:rsid w:val="00B852BB"/>
    <w:rsid w:val="00B91943"/>
    <w:rsid w:val="00B94666"/>
    <w:rsid w:val="00B94F4A"/>
    <w:rsid w:val="00B96B66"/>
    <w:rsid w:val="00BA09B9"/>
    <w:rsid w:val="00BA2616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1F30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02DC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0CF1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3552"/>
    <w:rsid w:val="00D666C7"/>
    <w:rsid w:val="00D7235C"/>
    <w:rsid w:val="00D74293"/>
    <w:rsid w:val="00D76CAF"/>
    <w:rsid w:val="00D84871"/>
    <w:rsid w:val="00D85466"/>
    <w:rsid w:val="00D8653E"/>
    <w:rsid w:val="00D87191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414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4FE6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597B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B709A6-24BE-E248-BC07-8567B3D8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00032-019B-41D7-8876-16B5C58B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1148</Words>
  <Characters>6205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>MINISTÉRIO DA EDUCAÇÃO</vt:lpstr>
      <vt:lpstr>    </vt:lpstr>
    </vt:vector>
  </TitlesOfParts>
  <Company>UFRN</Company>
  <LinksUpToDate>false</LinksUpToDate>
  <CharactersWithSpaces>7339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2020-12-09T09:02:00Z</dcterms:created>
  <dcterms:modified xsi:type="dcterms:W3CDTF">2020-12-09T09:02:00Z</dcterms:modified>
</cp:coreProperties>
</file>